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04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FF0000"/>
          <w:spacing w:val="0"/>
        </w:rPr>
      </w:pPr>
      <w:r>
        <w:rPr>
          <w:rFonts w:hint="eastAsia" w:ascii="宋体" w:hAnsi="宋体" w:eastAsia="宋体" w:cs="宋体"/>
          <w:b/>
          <w:i w:val="0"/>
          <w:caps w:val="0"/>
          <w:color w:val="FF0000"/>
          <w:spacing w:val="0"/>
          <w:bdr w:val="none" w:color="auto" w:sz="0" w:space="0"/>
          <w:shd w:val="clear" w:fill="FFFFFF"/>
        </w:rPr>
        <w:t>2022年武汉市职称评审条件适用文件</w:t>
      </w:r>
    </w:p>
    <w:p>
      <w:pPr>
        <w:jc w:val="left"/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  <w:lang w:eastAsia="zh-CN"/>
        </w:rPr>
        <w:t>可登陆以下网址下载：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http://www.whptc.org/ncms/article_N062208171970.shtml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4B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2022-12-12T08:55:01Z</dcterms:created>
  <dc:creator>Administrator</dc:creator>
  <cp:lastModifiedBy>April1405388997</cp:lastModifiedBy>
  <dcterms:modified xsi:type="dcterms:W3CDTF">2022-12-12T08:56:25Z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